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9f454d7dc7a46852d2e984e15849706d8b5a2a"/>
    <w:p>
      <w:pPr>
        <w:pStyle w:val="Heading3"/>
      </w:pPr>
      <w:r>
        <w:t xml:space="preserve">Состоялся финал юнармейской военно-спортивной игры "Победа"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drawing>
          <wp:inline>
            <wp:extent cx="5334000" cy="7536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e49/eb7f7f7d_c966_40f6_a2e0_e20a95ef82c9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685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49a/eb7f7f7d_c966_40f6_a2e0_e20a95ef82c9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http://severny.mos.ru/info-butyrskaya-military-commissariat/detail/10754998.html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everny.mos.ru" TargetMode="External" /><Relationship Type="http://schemas.openxmlformats.org/officeDocument/2006/relationships/hyperlink" Id="rId26" Target="http://severny.mos.ru/info-butyrskaya-military-commissariat/detail/10754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y.mos.ru" TargetMode="External" /><Relationship Type="http://schemas.openxmlformats.org/officeDocument/2006/relationships/hyperlink" Id="rId26" Target="http://severny.mos.ru/info-butyrskaya-military-commissariat/detail/10754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2025-03-30T17:04:51Z</dcterms:created>
  <dcterms:modified xsi:type="dcterms:W3CDTF">2025-03-30T17:04:51Z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